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537"/>
        <w:gridCol w:w="173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武山县农机服务中心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目标</w:t>
            </w:r>
            <w:r>
              <w:rPr>
                <w:kern w:val="0"/>
              </w:rPr>
              <w:t>1：</w:t>
            </w:r>
            <w:r>
              <w:rPr>
                <w:rFonts w:hint="eastAsia"/>
                <w:kern w:val="0"/>
              </w:rPr>
              <w:t>落实好农机具购置补贴政策，保障县农机服务中心各项工作扎实有效开展</w:t>
            </w:r>
          </w:p>
          <w:p>
            <w:pPr>
              <w:tabs>
                <w:tab w:val="left" w:pos="4056"/>
              </w:tabs>
              <w:rPr>
                <w:kern w:val="0"/>
              </w:rPr>
            </w:pPr>
            <w:r>
              <w:rPr>
                <w:kern w:val="0"/>
              </w:rPr>
              <w:t>目标2：</w:t>
            </w:r>
            <w:r>
              <w:rPr>
                <w:rFonts w:hint="eastAsia"/>
                <w:kern w:val="0"/>
              </w:rPr>
              <w:t>新机具引进、技术培训、补贴政策宣传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kern w:val="0"/>
              </w:rPr>
              <w:t>目标3：</w:t>
            </w:r>
            <w:r>
              <w:rPr>
                <w:rFonts w:hint="eastAsia"/>
                <w:kern w:val="0"/>
              </w:rPr>
              <w:t>核查核验机具达到300多台</w:t>
            </w:r>
            <w:r>
              <w:rPr>
                <w:kern w:val="0"/>
              </w:rPr>
              <w:t>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134.12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344.81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14.68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148.81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5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196.06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344.87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344.87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财务管理制度健全性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采购管理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资金使用规范性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人员管理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政府采购规范性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部门履职目标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部门履职目标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部门效果目标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部门效果目标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社会影响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社会影响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长效管理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长效管理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人力资源建设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人力资源建设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档案管理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档案管理</w:t>
            </w:r>
          </w:p>
        </w:tc>
        <w:tc>
          <w:tcPr>
            <w:tcW w:w="3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tabs>
                <w:tab w:val="left" w:pos="4056"/>
              </w:tabs>
              <w:rPr>
                <w:rFonts w:hint="default" w:ascii="Courier New" w:hAnsi="Courier New" w:eastAsia="宋体" w:cs="Courier New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Courier New" w:hAnsi="Courier New" w:cs="Courier New"/>
                <w:color w:val="000000"/>
                <w:sz w:val="22"/>
              </w:rPr>
              <w:t>规范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中央财政农业产业发展资金（农机购置与应用补贴）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kern w:val="0"/>
              </w:rPr>
              <w:t>武山县</w:t>
            </w:r>
            <w:r>
              <w:rPr>
                <w:rFonts w:hint="eastAsia"/>
                <w:kern w:val="0"/>
                <w:lang w:eastAsia="zh-CN"/>
              </w:rPr>
              <w:t>农机服务中心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156.06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/>
                <w:kern w:val="0"/>
              </w:rPr>
              <w:t>全年新增粮食生产和重要农产品供给相关的各类农机具250台套，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/>
                <w:kern w:val="0"/>
              </w:rPr>
              <w:t>农机装备水平显著提高，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hint="eastAsia"/>
                <w:kern w:val="0"/>
              </w:rPr>
              <w:t>农作物耕种收综合机械化率提升2个百分点以上。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农机购置与应用补贴资金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156</w:t>
            </w:r>
            <w:r>
              <w:rPr>
                <w:rFonts w:hint="eastAsia"/>
                <w:kern w:val="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社会成本指标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生态环境成本指标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数量指标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农机购置与应用补贴机具数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农机购置与应用补贴机具数大于等于250台（套）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质量指标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政策落实到位率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政策落实到位率100%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农机购置补贴年度资金兑付率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农机购置补贴年度资金兑付率大于等于90%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农机购置与应用补贴直接受益户数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农机购置与应用补贴直接受益户数大于等于250户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农作物耕种收综合机械化率提高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农作物耕种收综合机械化率提高2%以上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农机社会化服务能力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农机社会化服务能力明显提升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购机者满意度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购机者满意度大于等于90%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>省级财政农业产业发展资金（农机购置与应用补贴支出）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kern w:val="0"/>
              </w:rPr>
              <w:t>武山县</w:t>
            </w:r>
            <w:r>
              <w:rPr>
                <w:rFonts w:hint="eastAsia"/>
                <w:kern w:val="0"/>
                <w:lang w:eastAsia="zh-CN"/>
              </w:rPr>
              <w:t>农机服务中心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/>
                <w:kern w:val="0"/>
              </w:rPr>
              <w:t>聚焦小麦、玉米等主要粮食作物干燥环节技术需要，以建设提升产地粮食减损绿色烘干设施为重点，推进粮食产地烘干能力建设。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/>
                <w:kern w:val="0"/>
              </w:rPr>
              <w:t>依托武山万丰农业发展联合社建设粮食产地烘干中心，按照先建后补的方式，加快补齐粮食产后处理基础设施装备短板，提升粮食产后处理保障服务水平，切实降低粮食产后损失。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经济成本指标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农机购置与应用补贴资金农机购置与应用补贴资金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大于等于</w:t>
            </w:r>
            <w:r>
              <w:rPr>
                <w:rFonts w:hint="eastAsia"/>
                <w:kern w:val="0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社会成本指标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生态环境成本指标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数量指标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</w:rPr>
              <w:t>农机购置与应用补贴机具数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补贴推广机具数量大于等于10台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tabs>
                <w:tab w:val="left" w:pos="4056"/>
              </w:tabs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tabs>
                <w:tab w:val="left" w:pos="4056"/>
              </w:tabs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建立农机化示范点数量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建立农机化示范点数量大于等于1个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</w:p>
        </w:tc>
        <w:tc>
          <w:tcPr>
            <w:tcW w:w="1333" w:type="pct"/>
            <w:vMerge w:val="continue"/>
            <w:tcBorders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举办现场演示活动数量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举办现场演示活动数量大于等于1场次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质量指标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机具购置到位率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机具购置到位率大于等于95%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Merge w:val="restart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kern w:val="0"/>
              </w:rPr>
              <w:t>时效指标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现场演示与培训及时性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现场演示与培训及时性及时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tabs>
                <w:tab w:val="left" w:pos="4056"/>
              </w:tabs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tabs>
                <w:tab w:val="left" w:pos="4056"/>
              </w:tabs>
            </w:pPr>
          </w:p>
        </w:tc>
        <w:tc>
          <w:tcPr>
            <w:tcW w:w="1333" w:type="pct"/>
            <w:vMerge w:val="continue"/>
            <w:vAlign w:val="center"/>
          </w:tcPr>
          <w:p>
            <w:pPr>
              <w:tabs>
                <w:tab w:val="left" w:pos="4056"/>
              </w:tabs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机具补贴及时性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tabs>
                <w:tab w:val="left" w:pos="4056"/>
              </w:tabs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2"/>
                <w:lang w:val="en-US" w:eastAsia="zh-CN" w:bidi="ar-SA"/>
              </w:rPr>
              <w:t>机具补贴及时性及时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新增农机装备产值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新增农机装备产值大于等于5万亩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333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新增农机作业能力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新增农机作业能力大于等于5万亩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1333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新机具新服务面积</w:t>
            </w:r>
          </w:p>
        </w:tc>
        <w:tc>
          <w:tcPr>
            <w:tcW w:w="1577" w:type="pct"/>
            <w:gridSpan w:val="2"/>
            <w:tcBorders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新机具新技术示范推广面积大于等于5万亩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受益对象满意度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受益对象满意度大于等于90%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3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mYwYzNkZDViZmI1ZDhhMzQ2ZWIxZTk5NmMxZTA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7784910"/>
    <w:rsid w:val="113741D2"/>
    <w:rsid w:val="1C052D1B"/>
    <w:rsid w:val="1D34261E"/>
    <w:rsid w:val="26C36A79"/>
    <w:rsid w:val="405F5EB3"/>
    <w:rsid w:val="527E074E"/>
    <w:rsid w:val="579503FF"/>
    <w:rsid w:val="60535296"/>
    <w:rsid w:val="72FD2525"/>
    <w:rsid w:val="7CA3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TotalTime>7</TotalTime>
  <ScaleCrop>false</ScaleCrop>
  <LinksUpToDate>false</LinksUpToDate>
  <CharactersWithSpaces>9630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萌芽</cp:lastModifiedBy>
  <cp:lastPrinted>2022-02-15T07:45:00Z</cp:lastPrinted>
  <dcterms:modified xsi:type="dcterms:W3CDTF">2024-04-03T02:13:38Z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991BB29AD5894DAC88278B6E70F879D3_13</vt:lpwstr>
  </property>
</Properties>
</file>