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A589A"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</w:pPr>
      <w:bookmarkStart w:id="0" w:name="_GoBack"/>
      <w:bookmarkEnd w:id="0"/>
    </w:p>
    <w:p w14:paraId="2AB7D7E2"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</w:pPr>
    </w:p>
    <w:p w14:paraId="48AC50CF"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  <w:t>中央转移支付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农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  <w:t>机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购置补贴项目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  <w:t>支出</w:t>
      </w:r>
    </w:p>
    <w:p w14:paraId="1129A1C5"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  <w:t>绩效评价报告</w:t>
      </w:r>
    </w:p>
    <w:p w14:paraId="548B1041">
      <w:pPr>
        <w:pStyle w:val="2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</w:pPr>
    </w:p>
    <w:p w14:paraId="0AF3BD5B">
      <w:pPr>
        <w:pStyle w:val="2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</w:pPr>
    </w:p>
    <w:p w14:paraId="771D948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spacing w:val="-20"/>
          <w:sz w:val="32"/>
          <w:szCs w:val="32"/>
          <w:u w:val="singl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32"/>
          <w:szCs w:val="32"/>
          <w:lang w:val="en-US" w:eastAsia="zh-CN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spacing w:val="-20"/>
          <w:sz w:val="32"/>
          <w:szCs w:val="32"/>
          <w:lang w:eastAsia="zh-CN"/>
        </w:rPr>
        <w:t>项目名称：</w:t>
      </w:r>
      <w:r>
        <w:rPr>
          <w:rFonts w:hint="eastAsia" w:ascii="方正小标宋简体" w:hAnsi="方正小标宋简体" w:eastAsia="方正小标宋简体" w:cs="方正小标宋简体"/>
          <w:spacing w:val="-2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2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u w:val="single"/>
          <w:lang w:val="en-US" w:eastAsia="zh-CN"/>
        </w:rPr>
        <w:t>中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u w:val="single"/>
          <w:lang w:eastAsia="zh-CN"/>
        </w:rPr>
        <w:t>央转移支付农机购置补贴项目</w:t>
      </w:r>
      <w:r>
        <w:rPr>
          <w:rFonts w:hint="eastAsia" w:ascii="宋体" w:hAnsi="宋体" w:eastAsia="宋体" w:cs="宋体"/>
          <w:spacing w:val="-20"/>
          <w:sz w:val="32"/>
          <w:szCs w:val="32"/>
          <w:u w:val="single"/>
          <w:lang w:val="en-US" w:eastAsia="zh-CN"/>
        </w:rPr>
        <w:t xml:space="preserve">    </w:t>
      </w:r>
    </w:p>
    <w:p w14:paraId="1794D12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656" w:firstLineChars="600"/>
        <w:jc w:val="both"/>
        <w:textAlignment w:val="auto"/>
        <w:rPr>
          <w:rFonts w:hint="default" w:ascii="仿宋_GB2312" w:hAnsi="仿宋_GB2312" w:eastAsia="仿宋_GB2312" w:cs="仿宋_GB2312"/>
          <w:spacing w:val="-20"/>
          <w:sz w:val="32"/>
          <w:szCs w:val="32"/>
          <w:u w:val="singl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32"/>
          <w:szCs w:val="32"/>
          <w:lang w:eastAsia="zh-CN"/>
        </w:rPr>
        <w:t>项目主管部门：</w:t>
      </w:r>
      <w:r>
        <w:rPr>
          <w:rFonts w:hint="eastAsia" w:ascii="方正小标宋简体" w:hAnsi="方正小标宋简体" w:eastAsia="方正小标宋简体" w:cs="方正小标宋简体"/>
          <w:spacing w:val="-2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u w:val="single"/>
          <w:lang w:eastAsia="zh-CN"/>
        </w:rPr>
        <w:t>武山县农业农村局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u w:val="single"/>
          <w:lang w:val="en-US" w:eastAsia="zh-CN"/>
        </w:rPr>
        <w:t xml:space="preserve">             </w:t>
      </w:r>
    </w:p>
    <w:p w14:paraId="0B612A3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656" w:firstLineChars="600"/>
        <w:jc w:val="both"/>
        <w:textAlignment w:val="auto"/>
        <w:rPr>
          <w:rFonts w:hint="default" w:ascii="方正小标宋简体" w:hAnsi="方正小标宋简体" w:eastAsia="方正小标宋简体" w:cs="方正小标宋简体"/>
          <w:spacing w:val="-20"/>
          <w:sz w:val="32"/>
          <w:szCs w:val="32"/>
          <w:u w:val="singl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32"/>
          <w:szCs w:val="32"/>
          <w:lang w:eastAsia="zh-CN"/>
        </w:rPr>
        <w:t>评价实施部门：</w:t>
      </w:r>
      <w:r>
        <w:rPr>
          <w:rFonts w:hint="eastAsia" w:ascii="方正小标宋简体" w:hAnsi="方正小标宋简体" w:eastAsia="方正小标宋简体" w:cs="方正小标宋简体"/>
          <w:spacing w:val="-20"/>
          <w:sz w:val="32"/>
          <w:szCs w:val="32"/>
          <w:u w:val="single"/>
          <w:lang w:val="en-US" w:eastAsia="zh-CN"/>
        </w:rPr>
        <w:t xml:space="preserve">                               </w:t>
      </w:r>
    </w:p>
    <w:p w14:paraId="2E85D58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656" w:firstLineChars="600"/>
        <w:jc w:val="both"/>
        <w:textAlignment w:val="auto"/>
        <w:rPr>
          <w:rFonts w:hint="default" w:ascii="方正小标宋简体" w:hAnsi="方正小标宋简体" w:eastAsia="方正小标宋简体" w:cs="方正小标宋简体"/>
          <w:spacing w:val="-2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32"/>
          <w:szCs w:val="32"/>
          <w:lang w:eastAsia="zh-CN"/>
        </w:rPr>
        <w:t>评价机构名称：</w:t>
      </w:r>
      <w:r>
        <w:rPr>
          <w:rFonts w:hint="eastAsia" w:ascii="方正小标宋简体" w:hAnsi="方正小标宋简体" w:eastAsia="方正小标宋简体" w:cs="方正小标宋简体"/>
          <w:spacing w:val="-20"/>
          <w:sz w:val="32"/>
          <w:szCs w:val="32"/>
          <w:u w:val="single"/>
          <w:lang w:val="en-US" w:eastAsia="zh-CN"/>
        </w:rPr>
        <w:t xml:space="preserve">                               </w:t>
      </w:r>
      <w:r>
        <w:rPr>
          <w:rFonts w:hint="eastAsia" w:ascii="方正小标宋简体" w:hAnsi="方正小标宋简体" w:eastAsia="方正小标宋简体" w:cs="方正小标宋简体"/>
          <w:spacing w:val="-20"/>
          <w:sz w:val="32"/>
          <w:szCs w:val="32"/>
          <w:lang w:val="en-US" w:eastAsia="zh-CN"/>
        </w:rPr>
        <w:t xml:space="preserve">                      </w:t>
      </w:r>
    </w:p>
    <w:p w14:paraId="4194DCF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方正小标宋简体" w:hAnsi="方正小标宋简体" w:eastAsia="方正小标宋简体" w:cs="方正小标宋简体"/>
          <w:spacing w:val="-20"/>
          <w:sz w:val="22"/>
          <w:szCs w:val="22"/>
          <w:lang w:eastAsia="zh-CN"/>
        </w:rPr>
      </w:pPr>
    </w:p>
    <w:p w14:paraId="0AAE304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default" w:ascii="方正小标宋简体" w:hAnsi="方正小标宋简体" w:eastAsia="方正小标宋简体" w:cs="方正小标宋简体"/>
          <w:spacing w:val="-2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32"/>
          <w:szCs w:val="32"/>
          <w:lang w:val="en-US" w:eastAsia="zh-CN"/>
        </w:rPr>
        <w:t xml:space="preserve">                        2024年7月</w:t>
      </w:r>
    </w:p>
    <w:p w14:paraId="0D20D22A">
      <w:pPr>
        <w:pStyle w:val="2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</w:pPr>
    </w:p>
    <w:p w14:paraId="39C08261">
      <w:pPr>
        <w:pStyle w:val="2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984" w:right="1531" w:bottom="1701" w:left="1531" w:header="851" w:footer="1361" w:gutter="0"/>
          <w:cols w:space="720" w:num="1"/>
          <w:docGrid w:type="linesAndChars" w:linePitch="579" w:charSpace="-886"/>
        </w:sectPr>
      </w:pPr>
    </w:p>
    <w:p w14:paraId="556AEBBD"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  <w:t>武山县中央转移支付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农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  <w:t>机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购置补贴项目</w:t>
      </w:r>
    </w:p>
    <w:p w14:paraId="4EA06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792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年度绩效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  <w:t>评价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报告</w:t>
      </w:r>
    </w:p>
    <w:p w14:paraId="4335A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一、绩效目标分解下达情况</w:t>
      </w:r>
    </w:p>
    <w:p w14:paraId="19FC92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省农业农村厅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以甘财农〔2022〕103号、甘财农〔2023〕28号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下达我县中央财政农机购置补贴资金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，任务目标是预计补贴农机具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339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台（套），直接受益户200户。</w:t>
      </w:r>
    </w:p>
    <w:p w14:paraId="5C098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二、绩效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情况分析</w:t>
      </w:r>
    </w:p>
    <w:p w14:paraId="4F70C8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（一）资金投入情况分析。</w:t>
      </w:r>
    </w:p>
    <w:p w14:paraId="74FBDAE9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6" w:lineRule="exact"/>
        <w:ind w:firstLine="63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2023年省农业农村厅分两批下达我县农机购置补贴资金158万元，2022年结余资金0.769万元，当年可用补贴资金158.769万元。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2023年12月底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，补贴各类农机具37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台（套），享受农机购置补贴农户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户，完成农机购置补贴资金兑付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158.712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万元，中央农机购置补贴资金使用率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99.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724838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资金管理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情况分析。</w:t>
      </w:r>
    </w:p>
    <w:p w14:paraId="77744A4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6" w:lineRule="exact"/>
        <w:ind w:firstLine="632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2023年省农业农村厅分两批下达我县农机购置补贴资金158万元，2022年结余资金0.769万元，当年可用补贴资金158.769万元。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完成农机购置补贴资金兑付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158.712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万元，中央农机购置补贴资金使用率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99.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在农机购置补贴政策实施过程中，从补贴办理岗位设置、机具核实、补贴兑付等方面建立了针对性和操作性都比较强的工作制度，严格按照资金兑付程序发放到户。</w:t>
      </w:r>
    </w:p>
    <w:p w14:paraId="6BFC8E4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总体绩效目标完成情况分析。</w:t>
      </w:r>
    </w:p>
    <w:p w14:paraId="6FB4F9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41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截至目前，补贴各类农机具37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台（套），享受农机购置补贴农户21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户，完成农机购置补贴资金兑付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158.712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万元。注重实地核查，力保政策落实和售后服务到位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对补贴额在3000元以上的机具进行逐台核查，补贴额在1000元以下的机具采取入户核查与电话抽查相结合方式进行核查，非牌证管理的重点机具重点核验8项内容，入户核查坚持做到“见人、见机、见发票”和“人机合影、签字确认”的要求，坚持“谁核查、谁签字、谁负责”的做法，保证了机具核验全面到位，有力保障了政策落实的效果。</w:t>
      </w:r>
    </w:p>
    <w:p w14:paraId="1782C1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农机购置补贴政策的实施，极大地提高了我县农机化装备水平，拓宽了农机作业服务领域，农机化作业从产前、产中向产后加工服务方向发展、由纯农业生产向林果业、农副产品加工业方向发展，促进了当地农业生产和农村经济社会发展，农机化发展呈现出良好的发展态势，全县耕种收综合机械化水平达到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50.1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以上，有力的带动了农民种地的积极性，解放了大批农村劳动力，促进了社会劳动力转移，取得了实实在在的实施效果。</w:t>
      </w:r>
    </w:p>
    <w:p w14:paraId="08F5479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绩效指标完成情况分析。</w:t>
      </w:r>
    </w:p>
    <w:p w14:paraId="156538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320" w:leftChars="0" w:firstLine="206" w:firstLineChars="1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1.产出指标完成情况分析</w:t>
      </w:r>
    </w:p>
    <w:p w14:paraId="6D3C74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320" w:leftChars="0" w:firstLine="316" w:firstLineChars="1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（1）数量指标</w:t>
      </w:r>
    </w:p>
    <w:p w14:paraId="24EC16A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6" w:lineRule="exact"/>
        <w:ind w:left="0" w:leftChars="0"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截止目前县财政局、农业农村局以武财发【2023】51号、武财发【2023】238号文件，将涉及15个乡镇210户农户（农业生产经营组织）申请购置的375台农机具的补贴资金158.712万元，通过惠农资金“一折统”将补贴资金全部打入购机农户账户，购置补贴资金使用率99.96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0BEB32F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6" w:lineRule="exact"/>
        <w:ind w:left="0" w:leftChars="0"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（2）质量指标</w:t>
      </w:r>
    </w:p>
    <w:p w14:paraId="1001931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6" w:lineRule="exact"/>
        <w:ind w:left="0" w:leftChars="0"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主要农作物耕种收综合机械水平提高1个百分点。对重点（或异常）机具的全面核查，优先保证粮食生产所需机具、深松作业及支持绿色发展等机具。</w:t>
      </w:r>
    </w:p>
    <w:p w14:paraId="0DAE7457"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6" w:lineRule="exact"/>
        <w:ind w:left="0" w:leftChars="0"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时效指标</w:t>
      </w:r>
    </w:p>
    <w:p w14:paraId="0EAD5E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严格按照从受理到兑付全程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,35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天限时办理的要求，确保政策落实到位。其中，农业农村部门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eastAsia="zh-CN"/>
        </w:rPr>
        <w:t>从购机者申请受理到信息录入、受益信息公示、报送县级财政部门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时限为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天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含公示期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天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，财政部门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兑付时限为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天。</w:t>
      </w:r>
    </w:p>
    <w:p w14:paraId="26ADF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（4）成本指标</w:t>
      </w:r>
    </w:p>
    <w:p w14:paraId="6147D9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农机购置补贴实行定额补贴。补贴标准按照《2021-2023年甘肃省农机购置补贴机具补贴额一览表》执行。</w:t>
      </w:r>
    </w:p>
    <w:p w14:paraId="042F95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2.效益指标完成情况分析</w:t>
      </w:r>
    </w:p>
    <w:p w14:paraId="57D24F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（1）经济效益</w:t>
      </w:r>
    </w:p>
    <w:p w14:paraId="5D5A95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农户或生产经营组织购机成本明显降低，农机装备结构持续优化。</w:t>
      </w:r>
    </w:p>
    <w:p w14:paraId="55685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（2）社会效益</w:t>
      </w:r>
    </w:p>
    <w:p w14:paraId="73432B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8"/>
          <w:sz w:val="32"/>
          <w:szCs w:val="32"/>
          <w:lang w:val="en-US" w:eastAsia="zh-CN" w:bidi="ar-SA"/>
        </w:rPr>
        <w:t>农机购置与应用补贴直接受益户数210（户），农机社会化服务水平持续提升，全面促进特色优势产业机具应用，对纳入牌证管理的机具实行100%入户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12617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（3）生态效益</w:t>
      </w:r>
    </w:p>
    <w:p w14:paraId="30AFC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全面促进绿色发展机具应用。</w:t>
      </w:r>
    </w:p>
    <w:p w14:paraId="651E0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（4）可持续影响</w:t>
      </w:r>
    </w:p>
    <w:p w14:paraId="432D5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通过农机购置补贴政策的全面落实，进一步优化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我县农机装备结构，全县农业机械化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水平得到全面提升。</w:t>
      </w:r>
    </w:p>
    <w:p w14:paraId="3805CA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3.满意度指标完成情况分析</w:t>
      </w:r>
    </w:p>
    <w:p w14:paraId="0701A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32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农机购置补贴办理始终坚持</w:t>
      </w:r>
      <w:r>
        <w:rPr>
          <w:rFonts w:hint="eastAsia" w:ascii="仿宋_GB2312" w:hAnsi="仿宋_GB2312" w:eastAsia="仿宋_GB2312" w:cs="仿宋_GB2312"/>
          <w:sz w:val="32"/>
          <w:szCs w:val="32"/>
        </w:rPr>
        <w:t>全程公开公示，广泛接受社会监督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。在武山县人民政府网站农机购置补贴公开专栏对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申请购机补贴者信息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实施方案、补贴额一览表、操作程序、补贴机具信息、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资金使用情况、</w:t>
      </w:r>
      <w:r>
        <w:rPr>
          <w:rFonts w:hint="eastAsia" w:ascii="仿宋_GB2312" w:hAnsi="仿宋_GB2312" w:eastAsia="仿宋_GB2312" w:cs="仿宋_GB2312"/>
          <w:sz w:val="32"/>
          <w:szCs w:val="32"/>
        </w:rPr>
        <w:t>投诉咨询方式、违规查处结果等重点信息全面公开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通过政府网站农机购置补贴信息公开专栏、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农机人</w:t>
      </w:r>
      <w:r>
        <w:rPr>
          <w:rFonts w:hint="eastAsia" w:ascii="仿宋_GB2312" w:hAnsi="仿宋_GB2312" w:eastAsia="仿宋_GB2312" w:cs="仿宋_GB2312"/>
          <w:sz w:val="32"/>
          <w:szCs w:val="32"/>
        </w:rPr>
        <w:t>微信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群进行广泛</w:t>
      </w:r>
      <w:r>
        <w:rPr>
          <w:rFonts w:hint="eastAsia" w:ascii="仿宋_GB2312" w:hAnsi="仿宋_GB2312" w:eastAsia="仿宋_GB2312" w:cs="仿宋_GB2312"/>
          <w:sz w:val="32"/>
          <w:szCs w:val="32"/>
        </w:rPr>
        <w:t>宣传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通过形式多样的宣传，让补贴政策家喻户晓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，群众满意度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100%。</w:t>
      </w:r>
    </w:p>
    <w:p w14:paraId="0F4471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32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三、偏离绩效目标的原因和下一步改进措施</w:t>
      </w:r>
    </w:p>
    <w:p w14:paraId="1BE5A3E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right="0" w:rightChars="0" w:firstLine="63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一是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个别购机户对购机手续保管意识不强，对补贴资金申请表、购机发票随处放置，甚至丢失，个别机具铭牌未固定安装。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二是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由于受地形地貌生产条件限制，高性能大型农业机械购置少，农机购置补贴进度缓慢。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三是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部分经销商后续服务能力低，售后跟踪服务不到位，机具故障不能及时得到处理，易损配件供应不及时，给农户生产造成一定影响。</w:t>
      </w:r>
    </w:p>
    <w:p w14:paraId="3D488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32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四、绩效评价结果拟应用和公开情况</w:t>
      </w:r>
    </w:p>
    <w:p w14:paraId="1F2D93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41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健全农机补贴运行机制、优化补贴机具品目结构和工作流程，按照“自主购机、定额补贴、先购后补、县级结算、直补到卡（户）”的原则，实行敞开补贴 “先到先补，用完为止”。全面履行监督管理职责，确保农机购置补贴政策科学高效规范实施，进一步优化我县农机装备结构，加快全县农业机械化发展进程，取得较好工作实效，实现绩效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运行监控</w:t>
      </w:r>
      <w:r>
        <w:rPr>
          <w:rFonts w:hint="eastAsia" w:ascii="仿宋_GB2312" w:hAnsi="仿宋_GB2312" w:eastAsia="仿宋_GB2312" w:cs="仿宋_GB2312"/>
          <w:sz w:val="32"/>
          <w:szCs w:val="32"/>
        </w:rPr>
        <w:t>目标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F5D6E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32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五、其他需要说明的问题</w:t>
      </w:r>
    </w:p>
    <w:p w14:paraId="7BEDBB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</w:p>
    <w:p w14:paraId="10CC0751">
      <w:pPr>
        <w:pStyle w:val="4"/>
        <w:rPr>
          <w:rFonts w:hint="eastAsia"/>
          <w:lang w:val="en-US" w:eastAsia="zh-CN"/>
        </w:rPr>
      </w:pPr>
    </w:p>
    <w:sectPr>
      <w:pgSz w:w="11906" w:h="16838"/>
      <w:pgMar w:top="1984" w:right="1531" w:bottom="1701" w:left="1531" w:header="851" w:footer="1361" w:gutter="0"/>
      <w:cols w:space="720" w:num="1"/>
      <w:docGrid w:type="linesAndChars" w:linePitch="579" w:charSpace="-8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855AF1">
    <w:pPr>
      <w:pStyle w:val="6"/>
      <w:ind w:right="360" w:firstLine="360"/>
      <w:rPr>
        <w:rFonts w:hint="eastAsia" w:eastAsia="宋体"/>
        <w:sz w:val="28"/>
        <w:lang w:eastAsia="zh-CN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91A2DB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DzzAV0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991A2DB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96C3B3">
    <w:pPr>
      <w:pStyle w:val="6"/>
      <w:ind w:right="360" w:firstLine="360"/>
      <w:rPr>
        <w:rFonts w:hint="eastAsia" w:eastAsia="宋体"/>
        <w:sz w:val="28"/>
        <w:lang w:eastAsia="zh-CN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A0CDC">
                          <w:pPr>
                            <w:pStyle w:val="6"/>
                            <w:rPr>
                              <w:rFonts w:hint="eastAsia" w:eastAsia="微软雅黑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9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NyFa0T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8EA0CDC">
                    <w:pPr>
                      <w:pStyle w:val="6"/>
                      <w:rPr>
                        <w:rFonts w:hint="eastAsia" w:eastAsia="微软雅黑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8CAE49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33BC55"/>
    <w:multiLevelType w:val="singleLevel"/>
    <w:tmpl w:val="3B33BC5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0774C8B"/>
    <w:multiLevelType w:val="singleLevel"/>
    <w:tmpl w:val="50774C8B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3"/>
  <w:drawingGridVerticalSpacing w:val="579"/>
  <w:displayHorizontalDrawingGridEvery w:val="0"/>
  <w:displayVerticalDrawingGridEvery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hMmYwYzNkZDViZmI1ZDhhMzQ2ZWIxZTk5NmMxZTAifQ=="/>
  </w:docVars>
  <w:rsids>
    <w:rsidRoot w:val="00105C01"/>
    <w:rsid w:val="00002DBF"/>
    <w:rsid w:val="00016617"/>
    <w:rsid w:val="00030CB2"/>
    <w:rsid w:val="000C4DF9"/>
    <w:rsid w:val="00102D43"/>
    <w:rsid w:val="00105C01"/>
    <w:rsid w:val="00126CA5"/>
    <w:rsid w:val="00130B95"/>
    <w:rsid w:val="001E25DD"/>
    <w:rsid w:val="001F3FE6"/>
    <w:rsid w:val="00206C0F"/>
    <w:rsid w:val="00233A64"/>
    <w:rsid w:val="00275B3D"/>
    <w:rsid w:val="002C353A"/>
    <w:rsid w:val="00317FDC"/>
    <w:rsid w:val="00333ADF"/>
    <w:rsid w:val="003621F4"/>
    <w:rsid w:val="003732EA"/>
    <w:rsid w:val="00384820"/>
    <w:rsid w:val="003B5C12"/>
    <w:rsid w:val="003D2B57"/>
    <w:rsid w:val="00413D7D"/>
    <w:rsid w:val="004A1577"/>
    <w:rsid w:val="004C329C"/>
    <w:rsid w:val="004D0AEF"/>
    <w:rsid w:val="004D2A6B"/>
    <w:rsid w:val="00564758"/>
    <w:rsid w:val="00571CE1"/>
    <w:rsid w:val="00574480"/>
    <w:rsid w:val="00577C47"/>
    <w:rsid w:val="005850BC"/>
    <w:rsid w:val="005A1FD7"/>
    <w:rsid w:val="005B3F69"/>
    <w:rsid w:val="005E6861"/>
    <w:rsid w:val="005F657F"/>
    <w:rsid w:val="00651D24"/>
    <w:rsid w:val="00657641"/>
    <w:rsid w:val="007056D6"/>
    <w:rsid w:val="00752981"/>
    <w:rsid w:val="007A2905"/>
    <w:rsid w:val="007F48AC"/>
    <w:rsid w:val="0080033B"/>
    <w:rsid w:val="00803DC9"/>
    <w:rsid w:val="00807640"/>
    <w:rsid w:val="0082064D"/>
    <w:rsid w:val="00823B2C"/>
    <w:rsid w:val="00832788"/>
    <w:rsid w:val="008423E9"/>
    <w:rsid w:val="008564E8"/>
    <w:rsid w:val="0087132D"/>
    <w:rsid w:val="00880041"/>
    <w:rsid w:val="00893B56"/>
    <w:rsid w:val="008B4D8A"/>
    <w:rsid w:val="009065A3"/>
    <w:rsid w:val="00914F4F"/>
    <w:rsid w:val="00A024FC"/>
    <w:rsid w:val="00AB0B14"/>
    <w:rsid w:val="00AC316B"/>
    <w:rsid w:val="00AC4495"/>
    <w:rsid w:val="00AE20C5"/>
    <w:rsid w:val="00AF3F98"/>
    <w:rsid w:val="00AF60EC"/>
    <w:rsid w:val="00B031BC"/>
    <w:rsid w:val="00B052C9"/>
    <w:rsid w:val="00B45F32"/>
    <w:rsid w:val="00B752C1"/>
    <w:rsid w:val="00BD57C3"/>
    <w:rsid w:val="00C35FE9"/>
    <w:rsid w:val="00CB1317"/>
    <w:rsid w:val="00CD7529"/>
    <w:rsid w:val="00CE514B"/>
    <w:rsid w:val="00CF61C0"/>
    <w:rsid w:val="00D214E9"/>
    <w:rsid w:val="00D2677E"/>
    <w:rsid w:val="00D4037A"/>
    <w:rsid w:val="00DA1479"/>
    <w:rsid w:val="00DB4846"/>
    <w:rsid w:val="00DE19AF"/>
    <w:rsid w:val="00DF39E8"/>
    <w:rsid w:val="00E00E2F"/>
    <w:rsid w:val="00E23A93"/>
    <w:rsid w:val="00E27AFA"/>
    <w:rsid w:val="00E37DD6"/>
    <w:rsid w:val="00E5786A"/>
    <w:rsid w:val="00E827B8"/>
    <w:rsid w:val="00F04A58"/>
    <w:rsid w:val="00F43305"/>
    <w:rsid w:val="00F50708"/>
    <w:rsid w:val="00F81824"/>
    <w:rsid w:val="00FA445C"/>
    <w:rsid w:val="00FF1417"/>
    <w:rsid w:val="00FF4A25"/>
    <w:rsid w:val="069F4E93"/>
    <w:rsid w:val="06A97001"/>
    <w:rsid w:val="0A237FAA"/>
    <w:rsid w:val="0ACE7DFC"/>
    <w:rsid w:val="0B8D5598"/>
    <w:rsid w:val="0FB06C19"/>
    <w:rsid w:val="10055A7C"/>
    <w:rsid w:val="10297250"/>
    <w:rsid w:val="105601AC"/>
    <w:rsid w:val="11223C7F"/>
    <w:rsid w:val="1BF70EF2"/>
    <w:rsid w:val="1CA9732C"/>
    <w:rsid w:val="1CB72B0B"/>
    <w:rsid w:val="1D077224"/>
    <w:rsid w:val="1EA34E71"/>
    <w:rsid w:val="1FD50764"/>
    <w:rsid w:val="20B274FD"/>
    <w:rsid w:val="226E0231"/>
    <w:rsid w:val="22CB3BD8"/>
    <w:rsid w:val="243C7A3E"/>
    <w:rsid w:val="2C9E53DA"/>
    <w:rsid w:val="2E5F3577"/>
    <w:rsid w:val="2F452559"/>
    <w:rsid w:val="305D4696"/>
    <w:rsid w:val="313B1FEC"/>
    <w:rsid w:val="31CE78B7"/>
    <w:rsid w:val="33693981"/>
    <w:rsid w:val="36D17789"/>
    <w:rsid w:val="37E80B17"/>
    <w:rsid w:val="3AC01861"/>
    <w:rsid w:val="3E6A1454"/>
    <w:rsid w:val="3ECE62D6"/>
    <w:rsid w:val="402225F1"/>
    <w:rsid w:val="40F14133"/>
    <w:rsid w:val="44431B2F"/>
    <w:rsid w:val="44C706E2"/>
    <w:rsid w:val="478C2AA7"/>
    <w:rsid w:val="479E4EDA"/>
    <w:rsid w:val="48137781"/>
    <w:rsid w:val="48AA3ADB"/>
    <w:rsid w:val="493F3E72"/>
    <w:rsid w:val="4A381ECA"/>
    <w:rsid w:val="4C0D4964"/>
    <w:rsid w:val="4EDF3DD0"/>
    <w:rsid w:val="50A404B0"/>
    <w:rsid w:val="533C542E"/>
    <w:rsid w:val="54D121AC"/>
    <w:rsid w:val="565E5A54"/>
    <w:rsid w:val="58BF4F86"/>
    <w:rsid w:val="598D4912"/>
    <w:rsid w:val="5B255D68"/>
    <w:rsid w:val="5E6A344C"/>
    <w:rsid w:val="5EEE16B5"/>
    <w:rsid w:val="5FFC662E"/>
    <w:rsid w:val="60F71C10"/>
    <w:rsid w:val="61560F5D"/>
    <w:rsid w:val="618C7B76"/>
    <w:rsid w:val="648759B6"/>
    <w:rsid w:val="64C0197F"/>
    <w:rsid w:val="652A6423"/>
    <w:rsid w:val="664B56C0"/>
    <w:rsid w:val="673A2552"/>
    <w:rsid w:val="6B7D127A"/>
    <w:rsid w:val="6C7D4E9C"/>
    <w:rsid w:val="6FE10C9C"/>
    <w:rsid w:val="71DC2DA2"/>
    <w:rsid w:val="75F61A05"/>
    <w:rsid w:val="77F20B12"/>
    <w:rsid w:val="796E700F"/>
    <w:rsid w:val="7B821A5A"/>
    <w:rsid w:val="7C696BD1"/>
    <w:rsid w:val="7E865A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本缩进 21"/>
    <w:basedOn w:val="1"/>
    <w:qFormat/>
    <w:uiPriority w:val="0"/>
    <w:pPr>
      <w:spacing w:before="100" w:beforeAutospacing="1" w:after="100" w:afterAutospacing="1" w:line="480" w:lineRule="auto"/>
      <w:ind w:left="420" w:leftChars="200"/>
    </w:pPr>
  </w:style>
  <w:style w:type="paragraph" w:styleId="3">
    <w:name w:val="Date"/>
    <w:basedOn w:val="1"/>
    <w:next w:val="1"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11">
    <w:name w:val="page number"/>
    <w:basedOn w:val="10"/>
    <w:uiPriority w:val="0"/>
  </w:style>
  <w:style w:type="paragraph" w:customStyle="1" w:styleId="12">
    <w:name w:val="p16"/>
    <w:basedOn w:val="1"/>
    <w:qFormat/>
    <w:uiPriority w:val="0"/>
    <w:pPr>
      <w:widowControl/>
    </w:pPr>
    <w:rPr>
      <w:kern w:val="0"/>
      <w:szCs w:val="21"/>
    </w:rPr>
  </w:style>
  <w:style w:type="paragraph" w:customStyle="1" w:styleId="13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sss</Company>
  <Pages>6</Pages>
  <Words>2000</Words>
  <Characters>2155</Characters>
  <Lines>5</Lines>
  <Paragraphs>1</Paragraphs>
  <TotalTime>5</TotalTime>
  <ScaleCrop>false</ScaleCrop>
  <LinksUpToDate>false</LinksUpToDate>
  <CharactersWithSpaces>2303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2013-06-25T02:06:00Z</dcterms:created>
  <dc:creator>抗旱防汛办</dc:creator>
  <cp:lastModifiedBy>huawei</cp:lastModifiedBy>
  <cp:lastPrinted>2024-08-29T08:29:57Z</cp:lastPrinted>
  <dcterms:modified xsi:type="dcterms:W3CDTF">2024-09-23T01:12:58Z</dcterms:modified>
  <dc:title>天旱汛指发〔2004〕03号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4A48BEC9E9A84E84B250967ACEEB589D_13</vt:lpwstr>
  </property>
</Properties>
</file>