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黑体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1</w:t>
      </w:r>
    </w:p>
    <w:p>
      <w:pPr>
        <w:spacing w:before="468" w:beforeLines="150" w:line="62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年甘肃省农业主导品种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小麦（3个）：</w:t>
      </w:r>
      <w:r>
        <w:rPr>
          <w:rFonts w:ascii="Times New Roman" w:hAnsi="Times New Roman" w:eastAsia="仿宋_GB2312"/>
          <w:sz w:val="32"/>
          <w:szCs w:val="32"/>
        </w:rPr>
        <w:t>陇鉴115，兰大211，陇春41号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玉米（4个）：</w:t>
      </w:r>
      <w:r>
        <w:rPr>
          <w:rFonts w:ascii="Times New Roman" w:hAnsi="Times New Roman" w:eastAsia="仿宋_GB2312"/>
          <w:sz w:val="32"/>
          <w:szCs w:val="32"/>
        </w:rPr>
        <w:t>陇单339，豫单1851，先玉1483，玉源7879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马铃薯（3个）：</w:t>
      </w:r>
      <w:r>
        <w:rPr>
          <w:rFonts w:ascii="Times New Roman" w:hAnsi="Times New Roman" w:eastAsia="仿宋_GB2312"/>
          <w:sz w:val="32"/>
          <w:szCs w:val="32"/>
        </w:rPr>
        <w:t>陇薯7号，陇薯10号，甘农薯7号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大豆（1个）：</w:t>
      </w:r>
      <w:r>
        <w:rPr>
          <w:rFonts w:ascii="Times New Roman" w:hAnsi="Times New Roman" w:eastAsia="仿宋_GB2312"/>
          <w:sz w:val="32"/>
          <w:szCs w:val="32"/>
        </w:rPr>
        <w:t>陇中黄605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棉花（1个）：</w:t>
      </w:r>
      <w:r>
        <w:rPr>
          <w:rFonts w:ascii="Times New Roman" w:hAnsi="Times New Roman" w:eastAsia="仿宋_GB2312"/>
          <w:sz w:val="32"/>
          <w:szCs w:val="32"/>
        </w:rPr>
        <w:t>陇棉10号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油菜（2个）：</w:t>
      </w:r>
      <w:r>
        <w:rPr>
          <w:rFonts w:ascii="Times New Roman" w:hAnsi="Times New Roman" w:eastAsia="仿宋_GB2312"/>
          <w:sz w:val="32"/>
          <w:szCs w:val="32"/>
        </w:rPr>
        <w:t>陇油88，陇油杂2号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辣椒（1个）：</w:t>
      </w:r>
      <w:r>
        <w:rPr>
          <w:rFonts w:ascii="Times New Roman" w:hAnsi="Times New Roman" w:eastAsia="仿宋_GB2312"/>
          <w:sz w:val="32"/>
          <w:szCs w:val="32"/>
        </w:rPr>
        <w:t>天椒24号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苹果（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个）：</w:t>
      </w:r>
      <w:r>
        <w:rPr>
          <w:rFonts w:ascii="Times New Roman" w:hAnsi="Times New Roman" w:eastAsia="仿宋_GB2312"/>
          <w:sz w:val="32"/>
          <w:szCs w:val="32"/>
        </w:rPr>
        <w:t>静宁1号，俄矮2号</w:t>
      </w: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羊（2个）：</w:t>
      </w:r>
      <w:r>
        <w:rPr>
          <w:rFonts w:ascii="Times New Roman" w:hAnsi="Times New Roman" w:eastAsia="仿宋_GB2312"/>
          <w:sz w:val="32"/>
          <w:szCs w:val="32"/>
        </w:rPr>
        <w:t>天华肉羊，元生爱特奶绵羊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鸡（1个）：</w:t>
      </w:r>
      <w:r>
        <w:rPr>
          <w:rFonts w:ascii="Times New Roman" w:hAnsi="Times New Roman" w:eastAsia="仿宋_GB2312"/>
          <w:sz w:val="32"/>
          <w:szCs w:val="32"/>
        </w:rPr>
        <w:t>静原鸡</w:t>
      </w: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黑体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2</w:t>
      </w:r>
    </w:p>
    <w:p>
      <w:pPr>
        <w:spacing w:before="468" w:beforeLines="150" w:line="62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2026</w:t>
      </w:r>
      <w:r>
        <w:rPr>
          <w:rFonts w:ascii="Times New Roman" w:hAnsi="方正小标宋简体" w:eastAsia="方正小标宋简体"/>
          <w:sz w:val="44"/>
          <w:szCs w:val="44"/>
        </w:rPr>
        <w:t>年甘肃省农业主推技术</w:t>
      </w:r>
    </w:p>
    <w:p>
      <w:pPr>
        <w:spacing w:line="62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农学类</w:t>
      </w:r>
    </w:p>
    <w:p>
      <w:pPr>
        <w:numPr>
          <w:ilvl w:val="0"/>
          <w:numId w:val="1"/>
        </w:num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河西及沿黄灌区小麦玉米宽幅间作水肥一体化栽培技术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油菜黑膜覆盖穴播轻简化高产高效栽培技术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中草药边角料型低豆粕发酵饲料研发和推广应用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花牛苹果高质高效管理技术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西北旱区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小麦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hAnsi="仿宋_GB2312" w:eastAsia="仿宋_GB2312"/>
          <w:sz w:val="32"/>
          <w:szCs w:val="32"/>
        </w:rPr>
        <w:t>饲草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节肥增效轮作栽培技术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苹果老果园质效提升改造模式及集成技术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灌区小麦黑膜全膜穴播精准调控高产技术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小麦浅埋滴灌麦后复种蔬菜技术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大豆适水种植技术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中药材仿野生栽培技术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制干辣椒一膜双管四行肥水协同高效技术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玉米全膜双垄沟播技术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玉米密植膜下滴灌水肥一体化技术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小麦宽幅间作水肥一体化栽培技术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旱地马铃薯黑膜全覆盖垄上微沟高产技术</w:t>
      </w: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畜牧类</w:t>
      </w:r>
    </w:p>
    <w:p>
      <w:pPr>
        <w:numPr>
          <w:ilvl w:val="0"/>
          <w:numId w:val="1"/>
        </w:num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高质量选育储备优秀种公羊技术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生猪深部输精技术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肉羊三级二元杂交繁育技术模式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肉牛数字化溯源与管控技术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三膜两剂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防霉青贮制作技术</w:t>
      </w: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水产类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西北地区内陆大水面环保网箱大型鳟鱼生态养殖技术</w:t>
      </w: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农业机械化类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谷子覆膜穴播机械化生产技术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西北一熟区玉米延期低水分机械粒收技术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根茎类中药材生产机械化技术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旱地糜子机械化栽培技术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玉米籽粒机械直接收获技术</w:t>
      </w: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特色作物类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胡麻旧膜免耕穴播高产栽培技术</w:t>
      </w:r>
    </w:p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</w:rPr>
        <w:t>农业资源环境类</w:t>
      </w:r>
    </w:p>
    <w:p>
      <w:pPr>
        <w:numPr>
          <w:ilvl w:val="0"/>
          <w:numId w:val="1"/>
        </w:numPr>
        <w:spacing w:line="6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肉牛场粪污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微生物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hAnsi="仿宋_GB2312" w:eastAsia="仿宋_GB2312"/>
          <w:sz w:val="32"/>
          <w:szCs w:val="32"/>
        </w:rPr>
        <w:t>发酵垫料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处理模式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BC82B"/>
    <w:multiLevelType w:val="singleLevel"/>
    <w:tmpl w:val="CDFBC82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12CF"/>
    <w:rsid w:val="45E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2026-02-11T06:56:00Z</dcterms:created>
  <dc:creator>Administrator</dc:creator>
  <cp:lastModifiedBy>Administrator</cp:lastModifiedBy>
  <dcterms:modified xsi:type="dcterms:W3CDTF">2026-02-11T06:57:01Z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