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bdr w:val="none" w:color="auto" w:sz="0" w:space="0"/>
          <w:lang w:val="en-US" w:eastAsia="zh-CN" w:bidi="ar"/>
        </w:rPr>
        <w:t>基本信息</w:t>
      </w:r>
    </w:p>
    <w:tbl>
      <w:tblPr>
        <w:tblW w:w="939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2817"/>
        <w:gridCol w:w="1878"/>
        <w:gridCol w:w="2817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项目类型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本级支出项目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二级项目名称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环境卫生整治经费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环境卫生整治经费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分配方式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起始年份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项目期限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业务管理处室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0016 乡财县管办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资金主管处室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0016 乡财县管办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资金主管部门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703 武山县四门镇人民政府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重要程度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 重要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热点分类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101002 其他生态保护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标准模板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是否追踪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是否资产配置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是否科研项目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是否设置使用范围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是否二次分配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是否基建项目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是否涉密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项目总金额（元）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其中：非财政性资金（元）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项目概述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保障镇区及村级垃圾的及时清理清运，保证环境卫生的干净整洁，需环境卫生整治专项经费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政策依据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甘组通字【2017】65号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基本情况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保障镇区及村级垃圾的及时清理清运，保证环境卫生的干净整洁，需环境卫生整治专项经费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项目立项必要性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保障镇区及村级垃圾的及时清理清运，保证环境卫生的干净整洁。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保障项目实施的制度措施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四门镇人民政府项目管理制度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年按照财政支出计划按时支付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组织实施单位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四门镇人民政府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监督管理单位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武山县财政局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项目实施单位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需要说明的其他情况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bdr w:val="none" w:color="auto" w:sz="0" w:space="0"/>
          <w:lang w:val="en-US" w:eastAsia="zh-CN" w:bidi="ar"/>
        </w:rPr>
        <w:t>项目测算</w:t>
      </w:r>
    </w:p>
    <w:tbl>
      <w:tblPr>
        <w:tblW w:w="938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项目任务明细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支出标准分类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计算方式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支出标准值（元）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计量数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单价（万元）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测算数（万元）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测算依据及说明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标准模板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环保经费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环境卫生整治经费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暂定标准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定额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000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环境卫生整治经费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bdr w:val="none" w:color="auto" w:sz="0" w:space="0"/>
          <w:lang w:val="en-US" w:eastAsia="zh-CN" w:bidi="ar"/>
        </w:rPr>
        <w:t>分年支出计划</w:t>
      </w:r>
    </w:p>
    <w:tbl>
      <w:tblPr>
        <w:tblW w:w="9388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7"/>
        <w:gridCol w:w="2347"/>
        <w:gridCol w:w="2347"/>
        <w:gridCol w:w="2347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总金额（万元）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测算参考值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bdr w:val="none" w:color="auto" w:sz="0" w:space="0"/>
          <w:lang w:val="en-US" w:eastAsia="zh-CN" w:bidi="ar"/>
        </w:rPr>
        <w:t>项目绩效目标</w:t>
      </w:r>
    </w:p>
    <w:tbl>
      <w:tblPr>
        <w:tblW w:w="939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7512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项目绩效目标</w:t>
            </w:r>
          </w:p>
        </w:tc>
        <w:tc>
          <w:tcPr>
            <w:tcW w:w="751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保障镇区及村级垃圾的及时清理清运，保证环境卫生的干净整洁。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bdr w:val="none" w:color="auto" w:sz="0" w:space="0"/>
          <w:lang w:val="en-US" w:eastAsia="zh-CN" w:bidi="ar"/>
        </w:rPr>
        <w:t>项目绩效指标</w:t>
      </w:r>
    </w:p>
    <w:tbl>
      <w:tblPr>
        <w:tblW w:w="9384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73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1" w:type="dxa"/>
            <w:gridSpan w:val="7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分解指标</w:t>
            </w:r>
          </w:p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指标值类型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度量单位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指标值内容</w:t>
            </w:r>
          </w:p>
        </w:tc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乡镇环境卫生整治经费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  <w:bookmarkStart w:id="0" w:name="_GoBack"/>
            <w:bookmarkEnd w:id="0"/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社会成本指标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生态环境成本指标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涉及行政村数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垃圾清理清运及时率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资金拨付及时率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经济效益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支付环卫人员工资准确率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政府行政能力提升率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生态效益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人居环境改善率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可持续影响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bdr w:val="none" w:color="auto" w:sz="0" w:space="0"/>
          <w:lang w:val="en-US" w:eastAsia="zh-CN" w:bidi="ar"/>
        </w:rPr>
        <w:t>事前绩效评估打分</w:t>
      </w:r>
    </w:p>
    <w:tbl>
      <w:tblPr>
        <w:tblW w:w="939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2"/>
        <w:gridCol w:w="1332"/>
        <w:gridCol w:w="1332"/>
        <w:gridCol w:w="1332"/>
        <w:gridCol w:w="1332"/>
        <w:gridCol w:w="1332"/>
        <w:gridCol w:w="1326"/>
        <w:gridCol w:w="36"/>
        <w:gridCol w:w="36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审核内容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审核要点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权重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单位意见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单位得分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部门意见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筹资合规性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财政投入能力风险性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项目投入规模适当;中请预算在财政可承受能力范围内。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成本效益相关性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项目投入成本与预期效益高度相关，符合成本最小化、效益最大化预期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实施方案可行性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筹资风险可控性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对筹资风险认识全面;针对预期风险制定相应的应对措施;应对措施可行且有效。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成本控制措施有效性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成本测算科学合理;成本控制制度健全且措施有效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绩效指标细化量程度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将项目绩效目标细化量化为具体的绩效指标，包括产出指标和效果指标且符合相关原则，即指标是明确的、可衡量的、可实现的、相关的具有时限的。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绩效目标明确合理性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是否设定绩效目标 (此项为否决性核心指标); 与部门长期规划目标、年度工作目标一致;项目受益群体定位准确;绩效目标与项目实施内容高度相关。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实施方案完备性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项目实施方案详实完备;项目实施内容明确具体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立项必要性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绩效目标合理性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政策相关性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与国家政策和规划相关;与我省行业发展规划相关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投入产出合理性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投入产出比科学合理，符合投入最小化、产出最大化预期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财政投入相关性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项目具有公共性，属于公共财政支持范围 (此项为否决性核心指标);属于省级支出责任 (此项为否决性核心指标)。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项目管理规范性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项目设立、退出有明确的时限;项目清理、退出调整有明确的时限和步骤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职能相关性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与主管部门职能、规划及年度重点工作相关。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投入经济性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项目管理机构健全有效性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项目的管理机构健全;管理机构职责分工明确:项目人员、设施、物资等基础保障条件完备。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筹资来源合规性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资金筹措渠道及方式合法合规;资金投入来源结构合理、真实可靠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需求相关性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项目具有迫切的现实需求;项目不具有替代性;项目有确定的服务对象或受益对象。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预算编制真实完整;预算编制内容科学合理、明确细化(与绩效目标、实施方案紧密衔接);预算标准依据充分、测算准确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项目管理制度健全性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保障项目实施的相关管理制度健全、措施有效。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项目实施计划可行性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项目实施计划进度节点明确且安排合理;项目实施计划与资金使用计划匹配;实施计划符合全生命周期管理的要求。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单位综合评定等级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单位总体意见</w:t>
            </w:r>
          </w:p>
        </w:tc>
        <w:tc>
          <w:tcPr>
            <w:tcW w:w="8058" w:type="dxa"/>
            <w:gridSpan w:val="8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部门综合评定等级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6" w:type="dxa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部门总体意见</w:t>
            </w:r>
          </w:p>
        </w:tc>
        <w:tc>
          <w:tcPr>
            <w:tcW w:w="8058" w:type="dxa"/>
            <w:gridSpan w:val="8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bdr w:val="none" w:color="auto" w:sz="0" w:space="0"/>
          <w:lang w:val="en-US" w:eastAsia="zh-CN" w:bidi="ar"/>
        </w:rPr>
        <w:t>项目附件</w:t>
      </w:r>
    </w:p>
    <w:tbl>
      <w:tblPr>
        <w:tblW w:w="939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5"/>
        <w:gridCol w:w="1565"/>
        <w:gridCol w:w="1565"/>
        <w:gridCol w:w="1565"/>
        <w:gridCol w:w="1565"/>
        <w:gridCol w:w="1565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文号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文件名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附件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上传人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四门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四门.pdf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四门.pdf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贾录平</w:t>
            </w:r>
          </w:p>
        </w:tc>
      </w:tr>
    </w:tbl>
    <w:p/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708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2025-02-20T07:00:31Z</dcterms:created>
  <dc:creator>czs</dc:creator>
  <cp:lastModifiedBy>czs</cp:lastModifiedBy>
  <dcterms:modified xsi:type="dcterms:W3CDTF">2025-02-20T07:03:18Z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